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EE261" w14:textId="363DCC59" w:rsidR="00CF39B9" w:rsidRPr="004C3717" w:rsidRDefault="004C3717" w:rsidP="004C3717">
      <w:pPr>
        <w:tabs>
          <w:tab w:val="left" w:pos="872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717819">
        <w:rPr>
          <w:sz w:val="18"/>
          <w:szCs w:val="18"/>
        </w:rPr>
        <w:t xml:space="preserve">         </w:t>
      </w:r>
      <w:r w:rsidR="005D0AB0">
        <w:rPr>
          <w:rFonts w:ascii="Century Gothic" w:hAnsi="Century Gothic"/>
          <w:b/>
          <w:bCs/>
          <w:color w:val="009900"/>
          <w:sz w:val="20"/>
          <w:szCs w:val="20"/>
          <w:u w:color="009900"/>
        </w:rPr>
        <w:t xml:space="preserve">Merkblatt </w:t>
      </w:r>
      <w:r w:rsidR="002A44AB">
        <w:rPr>
          <w:rFonts w:ascii="Century Gothic" w:hAnsi="Century Gothic"/>
          <w:b/>
          <w:bCs/>
          <w:color w:val="009900"/>
          <w:sz w:val="20"/>
          <w:szCs w:val="20"/>
          <w:u w:color="009900"/>
        </w:rPr>
        <w:t>für Kunden zur Durchführung eines Alkohol- oder</w:t>
      </w:r>
      <w:r w:rsidR="005D0AB0">
        <w:rPr>
          <w:rFonts w:ascii="Century Gothic" w:hAnsi="Century Gothic"/>
          <w:b/>
          <w:bCs/>
          <w:color w:val="009900"/>
          <w:sz w:val="20"/>
          <w:szCs w:val="20"/>
          <w:u w:color="009900"/>
        </w:rPr>
        <w:t xml:space="preserve"> Drogenkontrollprogrammes</w:t>
      </w:r>
      <w:r w:rsidR="005D0AB0">
        <w:rPr>
          <w:rFonts w:ascii="Century Gothic" w:hAnsi="Century Gothic"/>
          <w:sz w:val="16"/>
          <w:szCs w:val="16"/>
        </w:rPr>
        <w:t xml:space="preserve"> </w:t>
      </w:r>
    </w:p>
    <w:p w14:paraId="728F8E3C" w14:textId="77777777" w:rsidR="00CF39B9" w:rsidRDefault="005D0AB0">
      <w:pPr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</w:t>
      </w:r>
    </w:p>
    <w:p w14:paraId="08507C53" w14:textId="77777777" w:rsidR="00CF39B9" w:rsidRDefault="005D0AB0">
      <w:pPr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</w:t>
      </w:r>
    </w:p>
    <w:p w14:paraId="12BE3E9E" w14:textId="692406E1" w:rsidR="00CF39B9" w:rsidRDefault="005D0AB0">
      <w:pPr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 </w:t>
      </w:r>
      <w:r>
        <w:rPr>
          <w:rFonts w:ascii="Century Gothic" w:hAnsi="Century Gothic"/>
          <w:sz w:val="16"/>
          <w:szCs w:val="16"/>
          <w:lang w:val="en-US"/>
        </w:rPr>
        <w:t xml:space="preserve">Name:                                            </w:t>
      </w:r>
      <w:r w:rsidR="006B6047">
        <w:rPr>
          <w:rFonts w:ascii="Century Gothic" w:hAnsi="Century Gothic"/>
          <w:sz w:val="16"/>
          <w:szCs w:val="16"/>
          <w:lang w:val="en-US"/>
        </w:rPr>
        <w:t xml:space="preserve">               </w:t>
      </w:r>
      <w:proofErr w:type="spellStart"/>
      <w:r w:rsidR="006B6047">
        <w:rPr>
          <w:rFonts w:ascii="Century Gothic" w:hAnsi="Century Gothic"/>
          <w:sz w:val="16"/>
          <w:szCs w:val="16"/>
          <w:lang w:val="en-US"/>
        </w:rPr>
        <w:t>Vorname</w:t>
      </w:r>
      <w:proofErr w:type="spellEnd"/>
      <w:r w:rsidR="006B6047">
        <w:rPr>
          <w:rFonts w:ascii="Century Gothic" w:hAnsi="Century Gothic"/>
          <w:sz w:val="16"/>
          <w:szCs w:val="16"/>
          <w:lang w:val="en-US"/>
        </w:rPr>
        <w:t>:</w:t>
      </w:r>
      <w:r>
        <w:rPr>
          <w:rFonts w:ascii="Century Gothic" w:hAnsi="Century Gothic"/>
          <w:sz w:val="16"/>
          <w:szCs w:val="16"/>
          <w:lang w:val="en-US"/>
        </w:rPr>
        <w:t xml:space="preserve">                                    </w:t>
      </w:r>
      <w:r w:rsidR="006B6047">
        <w:rPr>
          <w:rFonts w:ascii="Century Gothic" w:hAnsi="Century Gothic"/>
          <w:sz w:val="16"/>
          <w:szCs w:val="16"/>
          <w:lang w:val="en-US"/>
        </w:rPr>
        <w:t xml:space="preserve">                  </w:t>
      </w:r>
      <w:r>
        <w:rPr>
          <w:rFonts w:ascii="Century Gothic" w:hAnsi="Century Gothic"/>
          <w:sz w:val="16"/>
          <w:szCs w:val="16"/>
          <w:lang w:val="en-US"/>
        </w:rPr>
        <w:t>PA-</w:t>
      </w:r>
      <w:proofErr w:type="spellStart"/>
      <w:r>
        <w:rPr>
          <w:rFonts w:ascii="Century Gothic" w:hAnsi="Century Gothic"/>
          <w:sz w:val="16"/>
          <w:szCs w:val="16"/>
          <w:lang w:val="en-US"/>
        </w:rPr>
        <w:t>Nummer</w:t>
      </w:r>
      <w:proofErr w:type="spellEnd"/>
      <w:r>
        <w:rPr>
          <w:rFonts w:ascii="Century Gothic" w:hAnsi="Century Gothic"/>
          <w:sz w:val="16"/>
          <w:szCs w:val="16"/>
          <w:lang w:val="en-US"/>
        </w:rPr>
        <w:t xml:space="preserve">:  </w:t>
      </w:r>
    </w:p>
    <w:p w14:paraId="4B73896B" w14:textId="77777777" w:rsidR="00CF39B9" w:rsidRPr="004C06E9" w:rsidRDefault="00CF39B9" w:rsidP="004C06E9">
      <w:pPr>
        <w:rPr>
          <w:rFonts w:ascii="Century Gothic" w:eastAsia="Century Gothic" w:hAnsi="Century Gothic" w:cs="Century Gothic"/>
          <w:sz w:val="16"/>
          <w:szCs w:val="16"/>
        </w:rPr>
      </w:pPr>
    </w:p>
    <w:p w14:paraId="2A6B9A4D" w14:textId="77777777" w:rsidR="00CF39B9" w:rsidRDefault="005D0AB0">
      <w:pPr>
        <w:pStyle w:val="Listenabsatz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Der Kunde wurde in einem kostenpflichtigen Arztgespräch am                    über den Abstinenzzeitraum von          Monaten informiert und es wurden nachfolgende Punkte erläutert.</w:t>
      </w:r>
    </w:p>
    <w:p w14:paraId="7D0B39EF" w14:textId="77777777" w:rsidR="00CF39B9" w:rsidRDefault="00CF39B9">
      <w:pPr>
        <w:pStyle w:val="Listenabsatz"/>
        <w:ind w:left="0"/>
        <w:rPr>
          <w:rFonts w:ascii="Century Gothic" w:eastAsia="Century Gothic" w:hAnsi="Century Gothic" w:cs="Century Gothic"/>
          <w:sz w:val="16"/>
          <w:szCs w:val="16"/>
        </w:rPr>
      </w:pPr>
    </w:p>
    <w:p w14:paraId="32BA8E58" w14:textId="247DC86A" w:rsidR="00CF39B9" w:rsidRDefault="005D0AB0">
      <w:pPr>
        <w:pStyle w:val="Listenabsatz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Der</w:t>
      </w:r>
      <w:r w:rsidR="0060733E">
        <w:rPr>
          <w:rFonts w:ascii="Century Gothic" w:hAnsi="Century Gothic"/>
          <w:sz w:val="16"/>
          <w:szCs w:val="16"/>
        </w:rPr>
        <w:t xml:space="preserve"> Kunde hat sich in der </w:t>
      </w:r>
      <w:r>
        <w:rPr>
          <w:rFonts w:ascii="Century Gothic" w:hAnsi="Century Gothic"/>
          <w:sz w:val="16"/>
          <w:szCs w:val="16"/>
        </w:rPr>
        <w:t>Beratungsstelle</w:t>
      </w:r>
      <w:r w:rsidR="0060733E">
        <w:rPr>
          <w:rFonts w:ascii="Century Gothic" w:hAnsi="Century Gothic"/>
          <w:sz w:val="16"/>
          <w:szCs w:val="16"/>
        </w:rPr>
        <w:t>..</w:t>
      </w:r>
      <w:r w:rsidR="00AA5FD9">
        <w:rPr>
          <w:rFonts w:ascii="Century Gothic" w:hAnsi="Century Gothic"/>
          <w:sz w:val="16"/>
          <w:szCs w:val="16"/>
        </w:rPr>
        <w:t>...........................................   */im Internet</w:t>
      </w:r>
      <w:proofErr w:type="gramStart"/>
      <w:r w:rsidR="00AA5FD9">
        <w:rPr>
          <w:rFonts w:ascii="Century Gothic" w:hAnsi="Century Gothic"/>
          <w:sz w:val="16"/>
          <w:szCs w:val="16"/>
        </w:rPr>
        <w:t xml:space="preserve">*  </w:t>
      </w:r>
      <w:r>
        <w:rPr>
          <w:rFonts w:ascii="Century Gothic" w:hAnsi="Century Gothic"/>
          <w:sz w:val="16"/>
          <w:szCs w:val="16"/>
        </w:rPr>
        <w:t>über</w:t>
      </w:r>
      <w:proofErr w:type="gramEnd"/>
      <w:r>
        <w:rPr>
          <w:rFonts w:ascii="Century Gothic" w:hAnsi="Century Gothic"/>
          <w:sz w:val="16"/>
          <w:szCs w:val="16"/>
        </w:rPr>
        <w:t xml:space="preserve"> seine</w:t>
      </w:r>
      <w:r w:rsidR="00AA5FD9">
        <w:rPr>
          <w:rFonts w:ascii="Century Gothic" w:hAnsi="Century Gothic"/>
          <w:sz w:val="16"/>
          <w:szCs w:val="16"/>
        </w:rPr>
        <w:t xml:space="preserve">n Abstinenzzeitraum </w:t>
      </w:r>
      <w:r w:rsidR="006A7F56">
        <w:rPr>
          <w:rFonts w:ascii="Century Gothic" w:hAnsi="Century Gothic"/>
          <w:sz w:val="16"/>
          <w:szCs w:val="16"/>
        </w:rPr>
        <w:t>informiert.</w:t>
      </w:r>
    </w:p>
    <w:p w14:paraId="39F39E03" w14:textId="77777777" w:rsidR="00CF39B9" w:rsidRDefault="00CF39B9">
      <w:pPr>
        <w:pStyle w:val="Listenabsatz"/>
        <w:ind w:left="0"/>
        <w:rPr>
          <w:rFonts w:ascii="Century Gothic" w:eastAsia="Century Gothic" w:hAnsi="Century Gothic" w:cs="Century Gothic"/>
          <w:sz w:val="16"/>
          <w:szCs w:val="16"/>
        </w:rPr>
      </w:pPr>
    </w:p>
    <w:p w14:paraId="52019CF9" w14:textId="3384A322" w:rsidR="00CF39B9" w:rsidRDefault="005D0AB0">
      <w:pPr>
        <w:pStyle w:val="Listenabsatz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Verantwortlich für ein erfolgreiches Kontrollprogramm ist immer der Auftraggeber, also </w:t>
      </w:r>
      <w:r w:rsidR="0060733E">
        <w:rPr>
          <w:rFonts w:ascii="Century Gothic" w:hAnsi="Century Gothic"/>
          <w:sz w:val="16"/>
          <w:szCs w:val="16"/>
        </w:rPr>
        <w:t>..................................................................</w:t>
      </w:r>
    </w:p>
    <w:p w14:paraId="22EFEC07" w14:textId="77777777" w:rsidR="00CF39B9" w:rsidRDefault="00CF39B9">
      <w:pPr>
        <w:ind w:left="720"/>
        <w:rPr>
          <w:rFonts w:ascii="Century Gothic" w:eastAsia="Century Gothic" w:hAnsi="Century Gothic" w:cs="Century Gothic"/>
          <w:sz w:val="16"/>
          <w:szCs w:val="16"/>
        </w:rPr>
      </w:pPr>
    </w:p>
    <w:p w14:paraId="693E8DC6" w14:textId="65A0D870" w:rsidR="00CF39B9" w:rsidRDefault="00036727">
      <w:pPr>
        <w:pStyle w:val="Listenabsatz"/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Der Kunde benennt eine Telefonnummer</w:t>
      </w:r>
      <w:r w:rsidR="005D0AB0">
        <w:rPr>
          <w:rFonts w:ascii="Century Gothic" w:hAnsi="Century Gothic"/>
          <w:sz w:val="16"/>
          <w:szCs w:val="16"/>
        </w:rPr>
        <w:t xml:space="preserve"> und Uhrzeiten, unter der/denen er von 8.00 Uhr bis 20.00 Uhr erreichbar ist. Der Kunde wird aktiv und meldet sich umgehend, falls Veränderungen eintreten. </w:t>
      </w:r>
    </w:p>
    <w:p w14:paraId="1FD1DED7" w14:textId="77777777" w:rsidR="00CF39B9" w:rsidRDefault="00CF39B9">
      <w:pPr>
        <w:ind w:left="720"/>
        <w:rPr>
          <w:rFonts w:ascii="Century Gothic" w:eastAsia="Century Gothic" w:hAnsi="Century Gothic" w:cs="Century Gothic"/>
          <w:sz w:val="16"/>
          <w:szCs w:val="16"/>
        </w:rPr>
      </w:pPr>
    </w:p>
    <w:p w14:paraId="515EA5E3" w14:textId="4F82E472" w:rsidR="00CF39B9" w:rsidRDefault="005D0AB0">
      <w:pPr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Der Kunde muss Urlaubszeiten und andere Zeiten, in denen er voraussichtlich NICHT abkömmlich ist </w:t>
      </w:r>
      <w:r w:rsidR="002357F0">
        <w:rPr>
          <w:rFonts w:ascii="Century Gothic" w:hAnsi="Century Gothic"/>
          <w:sz w:val="16"/>
          <w:szCs w:val="16"/>
        </w:rPr>
        <w:t xml:space="preserve">(z. B. Montage etc.) oder veränderte </w:t>
      </w:r>
      <w:r>
        <w:rPr>
          <w:rFonts w:ascii="Century Gothic" w:hAnsi="Century Gothic"/>
          <w:sz w:val="16"/>
          <w:szCs w:val="16"/>
        </w:rPr>
        <w:t>Arbeitszeite</w:t>
      </w:r>
      <w:r w:rsidR="00725690">
        <w:rPr>
          <w:rFonts w:ascii="Century Gothic" w:hAnsi="Century Gothic"/>
          <w:sz w:val="16"/>
          <w:szCs w:val="16"/>
        </w:rPr>
        <w:t>n</w:t>
      </w:r>
      <w:r>
        <w:rPr>
          <w:rFonts w:ascii="Century Gothic" w:hAnsi="Century Gothic"/>
          <w:sz w:val="16"/>
          <w:szCs w:val="16"/>
        </w:rPr>
        <w:t xml:space="preserve"> </w:t>
      </w:r>
      <w:r w:rsidR="002357F0">
        <w:rPr>
          <w:rFonts w:ascii="Century Gothic" w:hAnsi="Century Gothic"/>
          <w:sz w:val="16"/>
          <w:szCs w:val="16"/>
        </w:rPr>
        <w:t>3 Tage vor Beginn a</w:t>
      </w:r>
      <w:bookmarkStart w:id="0" w:name="_GoBack"/>
      <w:bookmarkEnd w:id="0"/>
      <w:r w:rsidR="002357F0">
        <w:rPr>
          <w:rFonts w:ascii="Century Gothic" w:hAnsi="Century Gothic"/>
          <w:sz w:val="16"/>
          <w:szCs w:val="16"/>
        </w:rPr>
        <w:t>nmelden</w:t>
      </w:r>
      <w:r w:rsidR="00A95ED2">
        <w:rPr>
          <w:rFonts w:ascii="Century Gothic" w:hAnsi="Century Gothic"/>
          <w:sz w:val="16"/>
          <w:szCs w:val="16"/>
        </w:rPr>
        <w:t xml:space="preserve">. In dem </w:t>
      </w:r>
      <w:r w:rsidR="00725690">
        <w:rPr>
          <w:rFonts w:ascii="Century Gothic" w:hAnsi="Century Gothic"/>
          <w:sz w:val="16"/>
          <w:szCs w:val="16"/>
        </w:rPr>
        <w:t>abschließende</w:t>
      </w:r>
      <w:r w:rsidR="00A95ED2">
        <w:rPr>
          <w:rFonts w:ascii="Century Gothic" w:hAnsi="Century Gothic"/>
          <w:sz w:val="16"/>
          <w:szCs w:val="16"/>
        </w:rPr>
        <w:t>n Zertifikat</w:t>
      </w:r>
      <w:r w:rsidR="00725690">
        <w:rPr>
          <w:rFonts w:ascii="Century Gothic" w:hAnsi="Century Gothic"/>
          <w:sz w:val="16"/>
          <w:szCs w:val="16"/>
        </w:rPr>
        <w:t xml:space="preserve"> </w:t>
      </w:r>
      <w:r w:rsidR="00A95ED2">
        <w:rPr>
          <w:rFonts w:ascii="Century Gothic" w:hAnsi="Century Gothic"/>
          <w:sz w:val="16"/>
          <w:szCs w:val="16"/>
        </w:rPr>
        <w:t>werden die Zeiten dokumentiert und aufgeführt.</w:t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b/>
          <w:bCs/>
          <w:sz w:val="16"/>
          <w:szCs w:val="16"/>
        </w:rPr>
        <w:t>Mobil-Nr.: +49 (0) 151 59454168</w:t>
      </w:r>
    </w:p>
    <w:p w14:paraId="370ECFC1" w14:textId="77777777" w:rsidR="00CF39B9" w:rsidRDefault="00CF39B9">
      <w:pPr>
        <w:pStyle w:val="Listenabsatz"/>
        <w:rPr>
          <w:rFonts w:ascii="Century Gothic" w:eastAsia="Century Gothic" w:hAnsi="Century Gothic" w:cs="Century Gothic"/>
          <w:sz w:val="16"/>
          <w:szCs w:val="16"/>
        </w:rPr>
      </w:pPr>
    </w:p>
    <w:p w14:paraId="4E44F43B" w14:textId="77777777" w:rsidR="00CF39B9" w:rsidRDefault="005D0AB0">
      <w:pPr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Bei einem NICHT ENTSCHULDIGT AUSGEFALLENEM TERMIN gilt das Programm als beendet! Ebenso bei NICHTERREICHBARKEIT über 6 Wochen.</w:t>
      </w:r>
    </w:p>
    <w:p w14:paraId="465A6276" w14:textId="77777777" w:rsidR="00CF39B9" w:rsidRDefault="00CF39B9">
      <w:pPr>
        <w:rPr>
          <w:rFonts w:ascii="Century Gothic" w:eastAsia="Century Gothic" w:hAnsi="Century Gothic" w:cs="Century Gothic"/>
          <w:sz w:val="16"/>
          <w:szCs w:val="16"/>
        </w:rPr>
      </w:pPr>
    </w:p>
    <w:p w14:paraId="14801958" w14:textId="77777777" w:rsidR="00CF39B9" w:rsidRDefault="005D0AB0">
      <w:pPr>
        <w:ind w:left="705" w:hanging="34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4.</w:t>
      </w:r>
      <w:r>
        <w:rPr>
          <w:rFonts w:ascii="Century Gothic" w:hAnsi="Century Gothic"/>
          <w:sz w:val="16"/>
          <w:szCs w:val="16"/>
        </w:rPr>
        <w:tab/>
        <w:t>Medikamenteneinnahme MUSS mit entsprechendem Rezept bzw. Bescheinigung des behandelnden Arztes gemeldet werden.</w:t>
      </w:r>
    </w:p>
    <w:p w14:paraId="1158FB98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52B727CA" w14:textId="62032180" w:rsidR="00CF39B9" w:rsidRPr="001918A0" w:rsidRDefault="005D0AB0" w:rsidP="001918A0">
      <w:pPr>
        <w:pStyle w:val="Listenabsatz"/>
        <w:numPr>
          <w:ilvl w:val="0"/>
          <w:numId w:val="7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Der Kunde wurde darüber informiert, dass er im Rahmen des </w:t>
      </w:r>
      <w:proofErr w:type="gramStart"/>
      <w:r>
        <w:rPr>
          <w:rFonts w:ascii="Century Gothic" w:hAnsi="Century Gothic"/>
          <w:sz w:val="16"/>
          <w:szCs w:val="16"/>
        </w:rPr>
        <w:t xml:space="preserve">Alkoholabstinenzkontrollprogrammes </w:t>
      </w:r>
      <w:r w:rsidR="001918A0">
        <w:rPr>
          <w:rFonts w:ascii="Century Gothic" w:hAnsi="Century Gothic"/>
          <w:sz w:val="16"/>
          <w:szCs w:val="16"/>
        </w:rPr>
        <w:t xml:space="preserve"> </w:t>
      </w:r>
      <w:r w:rsidRPr="001918A0">
        <w:rPr>
          <w:rFonts w:ascii="Century Gothic" w:hAnsi="Century Gothic"/>
          <w:sz w:val="16"/>
          <w:szCs w:val="16"/>
        </w:rPr>
        <w:t>alle</w:t>
      </w:r>
      <w:proofErr w:type="gramEnd"/>
      <w:r w:rsidRPr="001918A0">
        <w:rPr>
          <w:rFonts w:ascii="Century Gothic" w:hAnsi="Century Gothic"/>
          <w:sz w:val="16"/>
          <w:szCs w:val="16"/>
        </w:rPr>
        <w:t xml:space="preserve"> alkoholhaltigen Lebensmittel, Medikamente und auch  Mundhygienemittel, sowie so genannte alkoholfreie</w:t>
      </w:r>
    </w:p>
    <w:p w14:paraId="577E4E57" w14:textId="2D29130D" w:rsidR="00CF39B9" w:rsidRDefault="005D0AB0">
      <w:pPr>
        <w:ind w:left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Biere/Weine/Sekt meiden muss. Ebenso sollten in dem Zeitraum </w:t>
      </w:r>
      <w:r>
        <w:rPr>
          <w:rFonts w:ascii="Century Gothic" w:hAnsi="Century Gothic"/>
          <w:b/>
          <w:bCs/>
          <w:sz w:val="16"/>
          <w:szCs w:val="16"/>
        </w:rPr>
        <w:t>keine Tattoos</w:t>
      </w:r>
      <w:r>
        <w:rPr>
          <w:rFonts w:ascii="Century Gothic" w:hAnsi="Century Gothic"/>
          <w:sz w:val="16"/>
          <w:szCs w:val="16"/>
        </w:rPr>
        <w:t xml:space="preserve"> gestochen werden, weil </w:t>
      </w:r>
      <w:r w:rsidR="001918A0">
        <w:rPr>
          <w:rFonts w:ascii="Century Gothic" w:hAnsi="Century Gothic"/>
          <w:sz w:val="16"/>
          <w:szCs w:val="16"/>
        </w:rPr>
        <w:t xml:space="preserve">u.a. </w:t>
      </w:r>
      <w:r>
        <w:rPr>
          <w:rFonts w:ascii="Century Gothic" w:hAnsi="Century Gothic"/>
          <w:sz w:val="16"/>
          <w:szCs w:val="16"/>
        </w:rPr>
        <w:t>mit med. Alkohol desinfiziert wird.</w:t>
      </w:r>
    </w:p>
    <w:p w14:paraId="23905745" w14:textId="77777777" w:rsidR="00CF39B9" w:rsidRDefault="00CF39B9">
      <w:pPr>
        <w:ind w:left="705"/>
        <w:rPr>
          <w:rFonts w:ascii="Century Gothic" w:eastAsia="Century Gothic" w:hAnsi="Century Gothic" w:cs="Century Gothic"/>
          <w:sz w:val="16"/>
          <w:szCs w:val="16"/>
        </w:rPr>
      </w:pPr>
    </w:p>
    <w:p w14:paraId="7370A89D" w14:textId="1739AB2D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6.     Der Kunde wurde darüber informiert, dass jeder D</w:t>
      </w:r>
      <w:r w:rsidR="001918A0">
        <w:rPr>
          <w:rFonts w:ascii="Century Gothic" w:hAnsi="Century Gothic"/>
          <w:sz w:val="16"/>
          <w:szCs w:val="16"/>
        </w:rPr>
        <w:t xml:space="preserve">rogenkontakt zu vermeiden ist. </w:t>
      </w:r>
      <w:r>
        <w:rPr>
          <w:rFonts w:ascii="Century Gothic" w:hAnsi="Century Gothic"/>
          <w:sz w:val="16"/>
          <w:szCs w:val="16"/>
        </w:rPr>
        <w:t xml:space="preserve">Im Rahmen des Drogenkontrollprogrammes </w:t>
      </w:r>
    </w:p>
    <w:p w14:paraId="440171DE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können der Konsum von Mohnsamen, Cannabis- oder Hanfprodukten und auch die Anwesenheit in Räumen mit </w:t>
      </w:r>
    </w:p>
    <w:p w14:paraId="067A1B9B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Cannabisrauch in der Umgebungsluft Auswirkungen auf die Laborergebnisse haben. Es ist auch auf die Einnahme von </w:t>
      </w:r>
    </w:p>
    <w:p w14:paraId="1581C781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Medikamenten zu achten (Beispiel: </w:t>
      </w:r>
      <w:proofErr w:type="spellStart"/>
      <w:r>
        <w:rPr>
          <w:rFonts w:ascii="Century Gothic" w:hAnsi="Century Gothic"/>
          <w:sz w:val="16"/>
          <w:szCs w:val="16"/>
        </w:rPr>
        <w:t>Immodium</w:t>
      </w:r>
      <w:proofErr w:type="spellEnd"/>
      <w:r>
        <w:rPr>
          <w:rFonts w:ascii="Century Gothic" w:hAnsi="Century Gothic"/>
          <w:sz w:val="16"/>
          <w:szCs w:val="16"/>
        </w:rPr>
        <w:t xml:space="preserve"> akut) weil Opiate enthalten sind.</w:t>
      </w:r>
    </w:p>
    <w:p w14:paraId="2ECF4A33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7A7EC085" w14:textId="3C1E8AA0" w:rsidR="00CF39B9" w:rsidRPr="00C055F7" w:rsidRDefault="005D0AB0" w:rsidP="00CD6193">
      <w:pPr>
        <w:ind w:left="705" w:hanging="360"/>
        <w:rPr>
          <w:rFonts w:ascii="Century Gothic" w:eastAsia="Century Gothic" w:hAnsi="Century Gothic" w:cs="Century Gothic"/>
          <w:b/>
          <w:color w:val="00B050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7.    Die Einbestellung zur Urinabgabe erfolgt max. 24 Stunden vorher. Die Einbestellung zu einer Haaranalyse erfolgt </w:t>
      </w:r>
      <w:r w:rsidR="00CD6193">
        <w:rPr>
          <w:rFonts w:ascii="Century Gothic" w:hAnsi="Century Gothic"/>
          <w:sz w:val="16"/>
          <w:szCs w:val="16"/>
        </w:rPr>
        <w:t xml:space="preserve">bei Alkohol </w:t>
      </w:r>
      <w:r>
        <w:rPr>
          <w:rFonts w:ascii="Century Gothic" w:hAnsi="Century Gothic"/>
          <w:sz w:val="16"/>
          <w:szCs w:val="16"/>
        </w:rPr>
        <w:t xml:space="preserve">exakt Tag genau alle 3 </w:t>
      </w:r>
      <w:r w:rsidR="00CD6193">
        <w:rPr>
          <w:rFonts w:ascii="Century Gothic" w:hAnsi="Century Gothic"/>
          <w:sz w:val="16"/>
          <w:szCs w:val="16"/>
        </w:rPr>
        <w:t xml:space="preserve">Monate; bei Drogenkontrolle alle 6 Monate um exakt ein Abstinenzjahr zu bestimmen. </w:t>
      </w:r>
      <w:r w:rsidR="00CD6193" w:rsidRPr="00C055F7">
        <w:rPr>
          <w:rFonts w:ascii="Century Gothic" w:hAnsi="Century Gothic"/>
          <w:b/>
          <w:color w:val="00B050"/>
          <w:sz w:val="16"/>
          <w:szCs w:val="16"/>
        </w:rPr>
        <w:t xml:space="preserve">Der Kunde ist darüber informiert, </w:t>
      </w:r>
      <w:r w:rsidR="00553A58">
        <w:rPr>
          <w:rFonts w:ascii="Century Gothic" w:hAnsi="Century Gothic"/>
          <w:b/>
          <w:color w:val="00B050"/>
          <w:sz w:val="16"/>
          <w:szCs w:val="16"/>
        </w:rPr>
        <w:t xml:space="preserve">dass </w:t>
      </w:r>
      <w:r w:rsidR="00C1687D">
        <w:rPr>
          <w:rFonts w:ascii="Century Gothic" w:hAnsi="Century Gothic"/>
          <w:b/>
          <w:color w:val="00B050"/>
          <w:sz w:val="16"/>
          <w:szCs w:val="16"/>
        </w:rPr>
        <w:t xml:space="preserve">bei 30 % der Kunden </w:t>
      </w:r>
      <w:r w:rsidR="00553A58">
        <w:rPr>
          <w:rFonts w:ascii="Century Gothic" w:hAnsi="Century Gothic"/>
          <w:b/>
          <w:color w:val="00B050"/>
          <w:sz w:val="16"/>
          <w:szCs w:val="16"/>
        </w:rPr>
        <w:t>in der Abstinenzzeit eine zusätzliche</w:t>
      </w:r>
      <w:r w:rsidR="00CD6193" w:rsidRPr="00C055F7">
        <w:rPr>
          <w:rFonts w:ascii="Century Gothic" w:hAnsi="Century Gothic"/>
          <w:b/>
          <w:color w:val="00B050"/>
          <w:sz w:val="16"/>
          <w:szCs w:val="16"/>
        </w:rPr>
        <w:t xml:space="preserve"> Kontrolle</w:t>
      </w:r>
      <w:r w:rsidR="00CB4835">
        <w:rPr>
          <w:rFonts w:ascii="Century Gothic" w:hAnsi="Century Gothic"/>
          <w:b/>
          <w:color w:val="00B050"/>
          <w:sz w:val="16"/>
          <w:szCs w:val="16"/>
        </w:rPr>
        <w:t>n</w:t>
      </w:r>
      <w:r w:rsidR="00CD6193" w:rsidRPr="00C055F7">
        <w:rPr>
          <w:rFonts w:ascii="Century Gothic" w:hAnsi="Century Gothic"/>
          <w:b/>
          <w:color w:val="00B050"/>
          <w:sz w:val="16"/>
          <w:szCs w:val="16"/>
        </w:rPr>
        <w:t xml:space="preserve"> (nach Z</w:t>
      </w:r>
      <w:r w:rsidR="00C21BF1">
        <w:rPr>
          <w:rFonts w:ascii="Century Gothic" w:hAnsi="Century Gothic"/>
          <w:b/>
          <w:color w:val="00B050"/>
          <w:sz w:val="16"/>
          <w:szCs w:val="16"/>
        </w:rPr>
        <w:t>ufa</w:t>
      </w:r>
      <w:r w:rsidR="00553A58">
        <w:rPr>
          <w:rFonts w:ascii="Century Gothic" w:hAnsi="Century Gothic"/>
          <w:b/>
          <w:color w:val="00B050"/>
          <w:sz w:val="16"/>
          <w:szCs w:val="16"/>
        </w:rPr>
        <w:t xml:space="preserve">llsprinzip) durchgeführt </w:t>
      </w:r>
      <w:proofErr w:type="gramStart"/>
      <w:r w:rsidR="00553A58">
        <w:rPr>
          <w:rFonts w:ascii="Century Gothic" w:hAnsi="Century Gothic"/>
          <w:b/>
          <w:color w:val="00B050"/>
          <w:sz w:val="16"/>
          <w:szCs w:val="16"/>
        </w:rPr>
        <w:t>wird</w:t>
      </w:r>
      <w:r w:rsidR="00C1687D">
        <w:rPr>
          <w:rFonts w:ascii="Century Gothic" w:hAnsi="Century Gothic"/>
          <w:b/>
          <w:color w:val="00B050"/>
          <w:sz w:val="16"/>
          <w:szCs w:val="16"/>
        </w:rPr>
        <w:t>.</w:t>
      </w:r>
      <w:r w:rsidR="006A7721">
        <w:rPr>
          <w:rFonts w:ascii="Century Gothic" w:hAnsi="Century Gothic"/>
          <w:b/>
          <w:color w:val="00B050"/>
          <w:sz w:val="16"/>
          <w:szCs w:val="16"/>
        </w:rPr>
        <w:t>(</w:t>
      </w:r>
      <w:proofErr w:type="gramEnd"/>
      <w:r w:rsidR="000A768B">
        <w:rPr>
          <w:rFonts w:ascii="Century Gothic" w:hAnsi="Century Gothic"/>
          <w:b/>
          <w:color w:val="00B050"/>
          <w:sz w:val="16"/>
          <w:szCs w:val="16"/>
        </w:rPr>
        <w:t>aktuelle CTU 4 Kriterien 2023)</w:t>
      </w:r>
      <w:r w:rsidR="00C055F7" w:rsidRPr="00C055F7">
        <w:rPr>
          <w:rFonts w:ascii="Century Gothic" w:hAnsi="Century Gothic"/>
          <w:b/>
          <w:color w:val="00B050"/>
          <w:sz w:val="16"/>
          <w:szCs w:val="16"/>
        </w:rPr>
        <w:t xml:space="preserve">. </w:t>
      </w:r>
    </w:p>
    <w:p w14:paraId="6BAC9B8F" w14:textId="77777777" w:rsidR="00CF39B9" w:rsidRDefault="00CF39B9">
      <w:pPr>
        <w:rPr>
          <w:rFonts w:ascii="Century Gothic" w:eastAsia="Century Gothic" w:hAnsi="Century Gothic" w:cs="Century Gothic"/>
          <w:sz w:val="16"/>
          <w:szCs w:val="16"/>
        </w:rPr>
      </w:pPr>
    </w:p>
    <w:p w14:paraId="57D8B6DB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8.    Der Kunde ist darüber informiert worden, dass am Tag der Kontrolle ein hoher Konsum von Flüssigkeiten den Kreatinin Wert </w:t>
      </w:r>
    </w:p>
    <w:p w14:paraId="2FEBDDC8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beeinflusst und dazu führen kann, dass die entnommene Urinprobe im Labor nicht verwertet werden darf und dies zum</w:t>
      </w:r>
    </w:p>
    <w:p w14:paraId="06A7FC8E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Ausschluss aus dem Kontrollprogramm führen kann. Der Kunde wurde weiter darüber informiert, dass seine Haare während</w:t>
      </w:r>
    </w:p>
    <w:p w14:paraId="75907E38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des Kontrollprogramms nicht gebleicht oder chemisch behandelt werden dürfen.</w:t>
      </w:r>
    </w:p>
    <w:p w14:paraId="434711BF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18809957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9.   Die Urinabgabe erfolgt unter ärztlicher Aufsicht oder dafür ausgebildetem Personal.</w:t>
      </w:r>
    </w:p>
    <w:p w14:paraId="188766FD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1D86BD39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10.  Bei Drogenscreenings erfolgt eine polytoxische Bestimmung (Opiate, Methadon, Kokain, Benzodiazepine, Amphetamine, </w:t>
      </w:r>
    </w:p>
    <w:p w14:paraId="5515E7DB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</w:t>
      </w:r>
      <w:proofErr w:type="spellStart"/>
      <w:r>
        <w:rPr>
          <w:rFonts w:ascii="Century Gothic" w:hAnsi="Century Gothic"/>
          <w:sz w:val="16"/>
          <w:szCs w:val="16"/>
        </w:rPr>
        <w:t>Cannabinoide</w:t>
      </w:r>
      <w:proofErr w:type="spellEnd"/>
      <w:r>
        <w:rPr>
          <w:rFonts w:ascii="Century Gothic" w:hAnsi="Century Gothic"/>
          <w:sz w:val="16"/>
          <w:szCs w:val="16"/>
        </w:rPr>
        <w:t>).</w:t>
      </w:r>
    </w:p>
    <w:p w14:paraId="446CA695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173F7CCC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11.  Der </w:t>
      </w:r>
      <w:proofErr w:type="spellStart"/>
      <w:r>
        <w:rPr>
          <w:rFonts w:ascii="Century Gothic" w:hAnsi="Century Gothic"/>
          <w:sz w:val="16"/>
          <w:szCs w:val="16"/>
        </w:rPr>
        <w:t>Kreatininwert</w:t>
      </w:r>
      <w:proofErr w:type="spellEnd"/>
      <w:r>
        <w:rPr>
          <w:rFonts w:ascii="Century Gothic" w:hAnsi="Century Gothic"/>
          <w:sz w:val="16"/>
          <w:szCs w:val="16"/>
        </w:rPr>
        <w:t xml:space="preserve"> im Urin wird mitbestimmt und in der Endbescheinigung mit aufgeführt. </w:t>
      </w:r>
    </w:p>
    <w:p w14:paraId="79A34957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08418765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13.  Vor jeder Kontrolle wird ein Identitätsnachweis durch den Pass/Personalausweis durchgeführt</w:t>
      </w:r>
      <w:r>
        <w:rPr>
          <w:rFonts w:ascii="Century Gothic" w:hAnsi="Century Gothic"/>
          <w:sz w:val="16"/>
          <w:szCs w:val="16"/>
          <w:lang w:val="en-US"/>
        </w:rPr>
        <w:t xml:space="preserve"> und </w:t>
      </w:r>
      <w:proofErr w:type="spellStart"/>
      <w:r>
        <w:rPr>
          <w:rFonts w:ascii="Century Gothic" w:hAnsi="Century Gothic"/>
          <w:sz w:val="16"/>
          <w:szCs w:val="16"/>
          <w:lang w:val="en-US"/>
        </w:rPr>
        <w:t>dokumentiert</w:t>
      </w:r>
      <w:proofErr w:type="spellEnd"/>
      <w:r>
        <w:rPr>
          <w:rFonts w:ascii="Century Gothic" w:hAnsi="Century Gothic"/>
          <w:sz w:val="16"/>
          <w:szCs w:val="16"/>
          <w:lang w:val="en-US"/>
        </w:rPr>
        <w:t>.</w:t>
      </w:r>
    </w:p>
    <w:p w14:paraId="54F3D9AC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29F28D3A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14.  Die Kosten für die Urinkontrollen und Haaranalysen sind am Abgabetag, noch vor der Laboranalyse zu bezahlen. Ein Abschluss</w:t>
      </w:r>
    </w:p>
    <w:p w14:paraId="5920B991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Zertifikat wird am Ende der Abstinenzzeit erstellt. </w:t>
      </w:r>
    </w:p>
    <w:p w14:paraId="577BE52A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</w:t>
      </w:r>
    </w:p>
    <w:p w14:paraId="47134EE7" w14:textId="16A0C885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15.  Bei allen Screenings gelten die Cut-Off-Werte der Beurteilungskriterien für Fahreignungs-Diagnostik (Stand 20</w:t>
      </w:r>
      <w:r w:rsidR="00C055F7">
        <w:rPr>
          <w:rFonts w:ascii="Century Gothic" w:hAnsi="Century Gothic"/>
          <w:sz w:val="16"/>
          <w:szCs w:val="16"/>
          <w:lang w:val="en-US"/>
        </w:rPr>
        <w:t>23</w:t>
      </w:r>
      <w:r>
        <w:rPr>
          <w:rFonts w:ascii="Century Gothic" w:hAnsi="Century Gothic"/>
          <w:sz w:val="16"/>
          <w:szCs w:val="16"/>
        </w:rPr>
        <w:t>).</w:t>
      </w:r>
    </w:p>
    <w:p w14:paraId="4AC6DB2B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49D2E600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16. Zwischen dem Ende des belegten Abstinenzzeitraums und der MPU dürfen maximal 3 Monate liegen.</w:t>
      </w:r>
    </w:p>
    <w:p w14:paraId="3ACE5EA0" w14:textId="77777777" w:rsidR="00CF39B9" w:rsidRDefault="00CF39B9">
      <w:pPr>
        <w:rPr>
          <w:rFonts w:ascii="Century Gothic" w:eastAsia="Century Gothic" w:hAnsi="Century Gothic" w:cs="Century Gothic"/>
          <w:sz w:val="16"/>
          <w:szCs w:val="16"/>
        </w:rPr>
      </w:pPr>
    </w:p>
    <w:p w14:paraId="1A10E4B0" w14:textId="77777777" w:rsidR="00CF39B9" w:rsidRDefault="005D0AB0">
      <w:pPr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*zutreffendes bitte ankreuzen und oder streichen!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14:paraId="1521EF22" w14:textId="77777777" w:rsidR="00CF39B9" w:rsidRDefault="00CF39B9">
      <w:pPr>
        <w:rPr>
          <w:rFonts w:ascii="Century Gothic" w:eastAsia="Century Gothic" w:hAnsi="Century Gothic" w:cs="Century Gothic"/>
          <w:sz w:val="16"/>
          <w:szCs w:val="16"/>
        </w:rPr>
      </w:pPr>
    </w:p>
    <w:p w14:paraId="2A0691E8" w14:textId="77777777" w:rsidR="004C3717" w:rsidRDefault="004C3717">
      <w:pPr>
        <w:rPr>
          <w:rFonts w:ascii="Century Gothic" w:eastAsia="Century Gothic" w:hAnsi="Century Gothic" w:cs="Century Gothic"/>
          <w:sz w:val="16"/>
          <w:szCs w:val="16"/>
        </w:rPr>
      </w:pPr>
    </w:p>
    <w:p w14:paraId="4DAC3628" w14:textId="77777777" w:rsidR="004C06E9" w:rsidRDefault="004C06E9">
      <w:pPr>
        <w:rPr>
          <w:rFonts w:ascii="Century Gothic" w:hAnsi="Century Gothic"/>
          <w:sz w:val="16"/>
          <w:szCs w:val="16"/>
        </w:rPr>
      </w:pPr>
    </w:p>
    <w:p w14:paraId="7AB8F882" w14:textId="77777777" w:rsidR="006A7721" w:rsidRDefault="004C06E9">
      <w:pPr>
        <w:rPr>
          <w:rFonts w:ascii="Century Gothic" w:hAnsi="Century Gothic"/>
          <w:sz w:val="16"/>
          <w:szCs w:val="16"/>
        </w:rPr>
      </w:pPr>
      <w:proofErr w:type="gramStart"/>
      <w:r>
        <w:rPr>
          <w:rFonts w:ascii="Century Gothic" w:hAnsi="Century Gothic"/>
          <w:sz w:val="16"/>
          <w:szCs w:val="16"/>
        </w:rPr>
        <w:t>Ort,  Datum</w:t>
      </w:r>
      <w:proofErr w:type="gramEnd"/>
      <w:r>
        <w:rPr>
          <w:rFonts w:ascii="Century Gothic" w:hAnsi="Century Gothic"/>
          <w:sz w:val="16"/>
          <w:szCs w:val="16"/>
        </w:rPr>
        <w:t xml:space="preserve">: Braunschweig </w:t>
      </w:r>
      <w:r w:rsidR="005D0AB0">
        <w:rPr>
          <w:rFonts w:ascii="Century Gothic" w:hAnsi="Century Gothic"/>
          <w:sz w:val="16"/>
          <w:szCs w:val="16"/>
        </w:rPr>
        <w:t xml:space="preserve"> . . . . . . . . . .</w:t>
      </w:r>
      <w:r>
        <w:rPr>
          <w:rFonts w:ascii="Century Gothic" w:hAnsi="Century Gothic"/>
          <w:sz w:val="16"/>
          <w:szCs w:val="16"/>
        </w:rPr>
        <w:t xml:space="preserve"> . .</w:t>
      </w:r>
      <w:r w:rsidR="004C3717">
        <w:rPr>
          <w:rFonts w:ascii="Century Gothic" w:hAnsi="Century Gothic"/>
          <w:sz w:val="16"/>
          <w:szCs w:val="16"/>
        </w:rPr>
        <w:t xml:space="preserve"> . . . .</w:t>
      </w:r>
      <w:r w:rsidR="005D0AB0">
        <w:rPr>
          <w:rFonts w:ascii="Century Gothic" w:hAnsi="Century Gothic"/>
          <w:sz w:val="16"/>
          <w:szCs w:val="16"/>
        </w:rPr>
        <w:t>Unterschrift Kunde. .</w:t>
      </w:r>
      <w:r w:rsidR="002A44AB">
        <w:rPr>
          <w:rFonts w:ascii="Century Gothic" w:hAnsi="Century Gothic"/>
          <w:sz w:val="16"/>
          <w:szCs w:val="16"/>
        </w:rPr>
        <w:t xml:space="preserve"> . . . . . . . . . . . . . . .......................</w:t>
      </w:r>
      <w:r w:rsidR="006A7721">
        <w:rPr>
          <w:rFonts w:ascii="Century Gothic" w:hAnsi="Century Gothic"/>
          <w:sz w:val="16"/>
          <w:szCs w:val="16"/>
        </w:rPr>
        <w:t xml:space="preserve"> </w:t>
      </w:r>
    </w:p>
    <w:p w14:paraId="3A481717" w14:textId="77777777" w:rsidR="006A7721" w:rsidRDefault="006A7721">
      <w:pPr>
        <w:rPr>
          <w:rFonts w:ascii="Century Gothic" w:hAnsi="Century Gothic"/>
          <w:sz w:val="16"/>
          <w:szCs w:val="16"/>
        </w:rPr>
      </w:pPr>
    </w:p>
    <w:p w14:paraId="7AAAA851" w14:textId="77777777" w:rsidR="006A7721" w:rsidRDefault="006A7721">
      <w:pPr>
        <w:rPr>
          <w:rFonts w:ascii="Century Gothic" w:hAnsi="Century Gothic"/>
          <w:sz w:val="16"/>
          <w:szCs w:val="16"/>
        </w:rPr>
      </w:pPr>
    </w:p>
    <w:p w14:paraId="000818E6" w14:textId="51AFF191" w:rsidR="006A7721" w:rsidRDefault="006A7721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..................................................................</w:t>
      </w:r>
    </w:p>
    <w:p w14:paraId="28E1F581" w14:textId="25229202" w:rsidR="00CF39B9" w:rsidRPr="004C06E9" w:rsidRDefault="005D0AB0" w:rsidP="006A7721">
      <w:pPr>
        <w:ind w:left="6372" w:firstLine="708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Unterschrift MPU-Labor Niedersachsen    </w:t>
      </w:r>
    </w:p>
    <w:sectPr w:rsidR="00CF39B9" w:rsidRPr="004C06E9" w:rsidSect="00B12A1E">
      <w:headerReference w:type="default" r:id="rId7"/>
      <w:footerReference w:type="default" r:id="rId8"/>
      <w:pgSz w:w="11900" w:h="16840"/>
      <w:pgMar w:top="720" w:right="720" w:bottom="720" w:left="7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663E0" w14:textId="77777777" w:rsidR="007F120B" w:rsidRDefault="007F120B">
      <w:r>
        <w:separator/>
      </w:r>
    </w:p>
  </w:endnote>
  <w:endnote w:type="continuationSeparator" w:id="0">
    <w:p w14:paraId="28028CAF" w14:textId="77777777" w:rsidR="007F120B" w:rsidRDefault="007F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EBE89" w14:textId="15E5600B" w:rsidR="00CF39B9" w:rsidRDefault="00B12A1E" w:rsidP="00B12A1E">
    <w:pPr>
      <w:pStyle w:val="Fuzeile"/>
      <w:rPr>
        <w:rFonts w:ascii="Century Gothic" w:eastAsia="Century Gothic" w:hAnsi="Century Gothic" w:cs="Century Gothic"/>
        <w:color w:val="009900"/>
        <w:sz w:val="14"/>
        <w:szCs w:val="14"/>
        <w:u w:color="009900"/>
      </w:rPr>
    </w:pPr>
    <w:r>
      <w:rPr>
        <w:rFonts w:ascii="Century Gothic" w:hAnsi="Century Gothic"/>
        <w:b/>
        <w:bCs/>
        <w:color w:val="009900"/>
        <w:sz w:val="14"/>
        <w:szCs w:val="14"/>
        <w:u w:color="009900"/>
      </w:rPr>
      <w:tab/>
    </w:r>
    <w:r w:rsidR="005D0AB0">
      <w:rPr>
        <w:rFonts w:ascii="Century Gothic" w:hAnsi="Century Gothic"/>
        <w:b/>
        <w:bCs/>
        <w:color w:val="009900"/>
        <w:sz w:val="14"/>
        <w:szCs w:val="14"/>
        <w:u w:color="009900"/>
      </w:rPr>
      <w:t xml:space="preserve">MPU-Labor-Niedersachsen ▪ </w:t>
    </w:r>
    <w:r w:rsidR="006A7721">
      <w:rPr>
        <w:rFonts w:ascii="Century Gothic" w:hAnsi="Century Gothic"/>
        <w:color w:val="009900"/>
        <w:sz w:val="14"/>
        <w:szCs w:val="14"/>
        <w:u w:color="009900"/>
      </w:rPr>
      <w:t xml:space="preserve">Hagenbrücke </w:t>
    </w:r>
    <w:proofErr w:type="gramStart"/>
    <w:r w:rsidR="006A7721">
      <w:rPr>
        <w:rFonts w:ascii="Century Gothic" w:hAnsi="Century Gothic"/>
        <w:color w:val="009900"/>
        <w:sz w:val="14"/>
        <w:szCs w:val="14"/>
        <w:u w:color="009900"/>
      </w:rPr>
      <w:t xml:space="preserve">10 </w:t>
    </w:r>
    <w:r w:rsidR="005D0AB0">
      <w:rPr>
        <w:rFonts w:ascii="Century Gothic" w:hAnsi="Century Gothic"/>
        <w:color w:val="009900"/>
        <w:sz w:val="14"/>
        <w:szCs w:val="14"/>
        <w:u w:color="009900"/>
      </w:rPr>
      <w:t xml:space="preserve"> ▪</w:t>
    </w:r>
    <w:proofErr w:type="gramEnd"/>
    <w:r w:rsidR="005D0AB0">
      <w:rPr>
        <w:rFonts w:ascii="Century Gothic" w:hAnsi="Century Gothic"/>
        <w:color w:val="009900"/>
        <w:sz w:val="14"/>
        <w:szCs w:val="14"/>
        <w:u w:color="009900"/>
      </w:rPr>
      <w:t xml:space="preserve"> 38100 Braunschweig ▪ Telefon: 0531-61284050</w:t>
    </w:r>
  </w:p>
  <w:p w14:paraId="79104BF5" w14:textId="77777777" w:rsidR="00CF39B9" w:rsidRDefault="007F120B">
    <w:pPr>
      <w:pStyle w:val="Fuzeile"/>
      <w:jc w:val="center"/>
      <w:rPr>
        <w:rFonts w:ascii="Century Gothic" w:eastAsia="Century Gothic" w:hAnsi="Century Gothic" w:cs="Century Gothic"/>
        <w:color w:val="009900"/>
        <w:sz w:val="14"/>
        <w:szCs w:val="14"/>
        <w:u w:color="009900"/>
      </w:rPr>
    </w:pPr>
    <w:hyperlink r:id="rId1" w:history="1">
      <w:proofErr w:type="spellStart"/>
      <w:r w:rsidR="005D0AB0">
        <w:rPr>
          <w:rStyle w:val="Hyperlink0"/>
        </w:rPr>
        <w:t>mpulabor</w:t>
      </w:r>
      <w:proofErr w:type="spellEnd"/>
      <w:r w:rsidR="005D0AB0">
        <w:rPr>
          <w:rStyle w:val="Hyperlink0"/>
        </w:rPr>
        <w:t>@</w:t>
      </w:r>
      <w:r w:rsidR="005D0AB0">
        <w:rPr>
          <w:rStyle w:val="Hyperlink0"/>
          <w:lang w:val="en-US"/>
        </w:rPr>
        <w:t>gmx.de</w:t>
      </w:r>
    </w:hyperlink>
    <w:r w:rsidR="005D0AB0">
      <w:rPr>
        <w:rFonts w:ascii="Century Gothic" w:hAnsi="Century Gothic"/>
        <w:color w:val="009900"/>
        <w:sz w:val="14"/>
        <w:szCs w:val="14"/>
        <w:u w:color="009900"/>
        <w:lang w:val="en-US"/>
      </w:rPr>
      <w:t xml:space="preserve"> </w:t>
    </w:r>
    <w:r w:rsidR="005D0AB0">
      <w:rPr>
        <w:rFonts w:ascii="Century Gothic" w:hAnsi="Century Gothic"/>
        <w:color w:val="009900"/>
        <w:sz w:val="14"/>
        <w:szCs w:val="14"/>
        <w:u w:color="009900"/>
      </w:rPr>
      <w:t>▪ www.mpu-labor-niedersachsen.de</w:t>
    </w:r>
  </w:p>
  <w:p w14:paraId="013EED12" w14:textId="77777777" w:rsidR="00CF39B9" w:rsidRDefault="005D0AB0">
    <w:pPr>
      <w:pStyle w:val="Fuzeile"/>
      <w:jc w:val="center"/>
    </w:pPr>
    <w:r>
      <w:rPr>
        <w:rFonts w:ascii="Century Gothic" w:hAnsi="Century Gothic"/>
        <w:color w:val="009900"/>
        <w:sz w:val="14"/>
        <w:szCs w:val="14"/>
        <w:u w:color="009900"/>
      </w:rPr>
      <w:t xml:space="preserve"> </w:t>
    </w:r>
    <w:proofErr w:type="spellStart"/>
    <w:r>
      <w:rPr>
        <w:rFonts w:ascii="Century Gothic" w:hAnsi="Century Gothic"/>
        <w:color w:val="009900"/>
        <w:sz w:val="14"/>
        <w:szCs w:val="14"/>
        <w:u w:color="009900"/>
      </w:rPr>
      <w:t>Targo</w:t>
    </w:r>
    <w:proofErr w:type="spellEnd"/>
    <w:r>
      <w:rPr>
        <w:rFonts w:ascii="Century Gothic" w:hAnsi="Century Gothic"/>
        <w:color w:val="009900"/>
        <w:sz w:val="14"/>
        <w:szCs w:val="14"/>
        <w:u w:color="009900"/>
      </w:rPr>
      <w:t>-Bank * IBAN: DE51 3002 0900 5390 6461 17 * BIC CMCIDEDDXXX * St.-Nr.: 14/112/05208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BE382" w14:textId="77777777" w:rsidR="007F120B" w:rsidRDefault="007F120B">
      <w:r>
        <w:separator/>
      </w:r>
    </w:p>
  </w:footnote>
  <w:footnote w:type="continuationSeparator" w:id="0">
    <w:p w14:paraId="1DB50D0C" w14:textId="77777777" w:rsidR="007F120B" w:rsidRDefault="007F12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2C2F9" w14:textId="280DD8AA" w:rsidR="004C3717" w:rsidRPr="00717819" w:rsidRDefault="00391D5A" w:rsidP="002A44AB">
    <w:pPr>
      <w:tabs>
        <w:tab w:val="left" w:pos="8724"/>
      </w:tabs>
      <w:rPr>
        <w:rFonts w:ascii="Century Gothic" w:hAnsi="Century Gothic"/>
        <w:b/>
        <w:bCs/>
        <w:color w:val="006600"/>
        <w:sz w:val="18"/>
        <w:szCs w:val="18"/>
        <w:u w:color="006600"/>
      </w:rPr>
    </w:pPr>
    <w:r w:rsidRPr="00391D5A">
      <w:rPr>
        <w:noProof/>
      </w:rPr>
      <w:drawing>
        <wp:inline distT="0" distB="0" distL="0" distR="0" wp14:anchorId="54F658FB" wp14:editId="629AE71C">
          <wp:extent cx="2514271" cy="1076960"/>
          <wp:effectExtent l="0" t="0" r="63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6509" cy="1099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44AB" w:rsidRPr="002A44AB">
      <w:rPr>
        <w:b/>
        <w:bCs/>
        <w:color w:val="008F00"/>
        <w:sz w:val="16"/>
        <w:szCs w:val="16"/>
      </w:rPr>
      <w:t xml:space="preserve"> </w:t>
    </w:r>
    <w:proofErr w:type="spellStart"/>
    <w:r w:rsidR="002A44AB" w:rsidRPr="00717819">
      <w:rPr>
        <w:b/>
        <w:bCs/>
        <w:color w:val="008F00"/>
        <w:sz w:val="18"/>
        <w:szCs w:val="18"/>
      </w:rPr>
      <w:t>Dr.med.Lukas</w:t>
    </w:r>
    <w:proofErr w:type="spellEnd"/>
    <w:r w:rsidR="002A44AB" w:rsidRPr="00717819">
      <w:rPr>
        <w:b/>
        <w:bCs/>
        <w:color w:val="008F00"/>
        <w:sz w:val="18"/>
        <w:szCs w:val="18"/>
      </w:rPr>
      <w:t xml:space="preserve"> Bruns * Facharzt für Allgemein &amp; Verkehrsmedizin</w:t>
    </w:r>
    <w:r w:rsidR="002A44AB" w:rsidRPr="00717819">
      <w:rPr>
        <w:rFonts w:ascii="Century Gothic" w:hAnsi="Century Gothic"/>
        <w:b/>
        <w:bCs/>
        <w:color w:val="006600"/>
        <w:sz w:val="18"/>
        <w:szCs w:val="18"/>
        <w:u w:color="006600"/>
      </w:rPr>
      <w:t xml:space="preserve"> </w:t>
    </w:r>
  </w:p>
  <w:p w14:paraId="503501A8" w14:textId="275EABCA" w:rsidR="00391D5A" w:rsidRPr="002A44AB" w:rsidRDefault="002A44AB" w:rsidP="002A44AB">
    <w:pPr>
      <w:tabs>
        <w:tab w:val="left" w:pos="8724"/>
      </w:tabs>
      <w:rPr>
        <w:b/>
        <w:bCs/>
        <w:color w:val="008F00"/>
        <w:sz w:val="16"/>
        <w:szCs w:val="16"/>
      </w:rPr>
    </w:pPr>
    <w:r>
      <w:rPr>
        <w:rFonts w:ascii="Century Gothic" w:hAnsi="Century Gothic"/>
        <w:b/>
        <w:bCs/>
        <w:color w:val="006600"/>
        <w:sz w:val="20"/>
        <w:szCs w:val="20"/>
        <w:u w:color="006600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66E8C"/>
    <w:multiLevelType w:val="hybridMultilevel"/>
    <w:tmpl w:val="69601034"/>
    <w:styleLink w:val="ImportierterStil3"/>
    <w:lvl w:ilvl="0" w:tplc="EBB40D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E807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4C790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3813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EC9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2AB8C8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BCAA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DC7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EC144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BF2406C"/>
    <w:multiLevelType w:val="hybridMultilevel"/>
    <w:tmpl w:val="40046A46"/>
    <w:styleLink w:val="ImportierterStil2"/>
    <w:lvl w:ilvl="0" w:tplc="9A3090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07E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236A8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0EF3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B4F8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62B990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60B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2C07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FEE28E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CEC0E5B"/>
    <w:multiLevelType w:val="hybridMultilevel"/>
    <w:tmpl w:val="40046A46"/>
    <w:numStyleLink w:val="ImportierterStil2"/>
  </w:abstractNum>
  <w:abstractNum w:abstractNumId="3">
    <w:nsid w:val="4EEB4064"/>
    <w:multiLevelType w:val="hybridMultilevel"/>
    <w:tmpl w:val="E968BA9E"/>
    <w:styleLink w:val="ImportierterStil1"/>
    <w:lvl w:ilvl="0" w:tplc="E174BE0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22FF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881E4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0CA8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0CB5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0AEFE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6608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4400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6FCD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F7F0FC8"/>
    <w:multiLevelType w:val="hybridMultilevel"/>
    <w:tmpl w:val="69601034"/>
    <w:numStyleLink w:val="ImportierterStil3"/>
  </w:abstractNum>
  <w:abstractNum w:abstractNumId="5">
    <w:nsid w:val="7FAB2ABB"/>
    <w:multiLevelType w:val="hybridMultilevel"/>
    <w:tmpl w:val="E968BA9E"/>
    <w:numStyleLink w:val="ImportierterStil1"/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revisionView w:formatting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B9"/>
    <w:rsid w:val="00036727"/>
    <w:rsid w:val="0009285B"/>
    <w:rsid w:val="000A768B"/>
    <w:rsid w:val="001918A0"/>
    <w:rsid w:val="002357F0"/>
    <w:rsid w:val="002A44AB"/>
    <w:rsid w:val="00301B8D"/>
    <w:rsid w:val="00391D5A"/>
    <w:rsid w:val="004C06E9"/>
    <w:rsid w:val="004C3717"/>
    <w:rsid w:val="00553A58"/>
    <w:rsid w:val="005D0AB0"/>
    <w:rsid w:val="0060733E"/>
    <w:rsid w:val="006A7721"/>
    <w:rsid w:val="006A7F56"/>
    <w:rsid w:val="006B6047"/>
    <w:rsid w:val="006D2C81"/>
    <w:rsid w:val="00717819"/>
    <w:rsid w:val="00725690"/>
    <w:rsid w:val="0072774C"/>
    <w:rsid w:val="007F120B"/>
    <w:rsid w:val="0097438C"/>
    <w:rsid w:val="00A4707F"/>
    <w:rsid w:val="00A95ED2"/>
    <w:rsid w:val="00AA5FD9"/>
    <w:rsid w:val="00B12A1E"/>
    <w:rsid w:val="00B75F7D"/>
    <w:rsid w:val="00BD62EC"/>
    <w:rsid w:val="00C055F7"/>
    <w:rsid w:val="00C1687D"/>
    <w:rsid w:val="00C21BF1"/>
    <w:rsid w:val="00CB4835"/>
    <w:rsid w:val="00CD6193"/>
    <w:rsid w:val="00CF39B9"/>
    <w:rsid w:val="00DD2F83"/>
    <w:rsid w:val="00D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1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rFonts w:ascii="MS Reference Sans Serif" w:eastAsia="MS Reference Sans Serif" w:hAnsi="MS Reference Sans Serif" w:cs="MS Reference Sans Serif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outline w:val="0"/>
      <w:color w:val="0000FF"/>
      <w:u w:val="single" w:color="0000FF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MS Reference Sans Serif" w:eastAsia="MS Reference Sans Serif" w:hAnsi="MS Reference Sans Serif" w:cs="MS Reference Sans Serif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outline w:val="0"/>
      <w:color w:val="008F00"/>
      <w:sz w:val="14"/>
      <w:szCs w:val="14"/>
      <w:u w:val="single" w:color="0000FF"/>
    </w:rPr>
  </w:style>
  <w:style w:type="paragraph" w:styleId="Listenabsatz">
    <w:name w:val="List Paragraph"/>
    <w:pPr>
      <w:ind w:left="720"/>
    </w:pPr>
    <w:rPr>
      <w:rFonts w:ascii="MS Reference Sans Serif" w:eastAsia="MS Reference Sans Serif" w:hAnsi="MS Reference Sans Serif" w:cs="MS Reference Sans Serif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3"/>
      </w:numPr>
    </w:pPr>
  </w:style>
  <w:style w:type="numbering" w:customStyle="1" w:styleId="ImportierterStil3">
    <w:name w:val="Importierter Stil: 3"/>
    <w:pPr>
      <w:numPr>
        <w:numId w:val="5"/>
      </w:numPr>
    </w:pPr>
  </w:style>
  <w:style w:type="paragraph" w:styleId="Kopfzeile">
    <w:name w:val="header"/>
    <w:basedOn w:val="Standard"/>
    <w:link w:val="KopfzeileZchn"/>
    <w:uiPriority w:val="99"/>
    <w:unhideWhenUsed/>
    <w:rsid w:val="00DE48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486A"/>
    <w:rPr>
      <w:rFonts w:ascii="MS Reference Sans Serif" w:eastAsia="MS Reference Sans Serif" w:hAnsi="MS Reference Sans Serif" w:cs="MS Reference Sans Serif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pulabor@gmx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3837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Office-Anwender</cp:lastModifiedBy>
  <cp:revision>12</cp:revision>
  <cp:lastPrinted>2023-12-04T16:44:00Z</cp:lastPrinted>
  <dcterms:created xsi:type="dcterms:W3CDTF">2023-06-09T04:32:00Z</dcterms:created>
  <dcterms:modified xsi:type="dcterms:W3CDTF">2023-12-04T16:44:00Z</dcterms:modified>
</cp:coreProperties>
</file>